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Методический материал: «Дистанционное обучение на уроках математики во 2 классе»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нас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тоящее время все активнее и активнее идет поиск обновления содержания школьного образования вообще и, в частности, усиления поиска новых вариантов начального курса математики с целью повышения эффективности, как обучения, так и развития младших школьников.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настоящее время разрабатываются курсы математики для начальных классов, которые представляют собой существенное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обновление действующего в настоящее время курса математики в направлениях расширения и углубления его содержания с целью усиления познавательных процессов и повышения математической культуры школьников, формирования начал (основ) компьютерной грамотности.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Линия на развитие познавательных процессов учащихся достаточно четко прослеживается и в действующих учебниках по математике, в них увеличено число упражнений,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направленных на развитие внимания, наблюдательности, памяти учащихся, на умение проводить анализ, сравнивать предлагаемые объект, фигуры, процессы, подличать скрытую закономерность и т.д. Однако предложенные в учебниках упражнения развивающего характера 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уждаются в дополнительном расширении и обогащении большим числом специальных заданий, задач и упражнений содержательно-логического характера и нестандартного характера, заданий, требующих применения знаний в новых условиях, поданных в определенной системе.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Введение в курс математики начальных классов целесообразно подобранных задач и заданий, направленных на раз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витие познавательных процессов, обновления вслед за этим методов и средств обучения будет способствовать как повышению качества знаний и умений, так и более интенсивному математическому развитию младших школьников, интересу к предмету и к познанию в целом.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И, конечно, развитие интереса к предмету математики начинается с первого класса.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Что касается содержания предлагаемого мною материала, то она не выходит за пределы программы начального курса математики, близко жизненному опыту школьников и доступно их пониманию.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 подборе заданий, задач и упражнений мною использована литература российских и зарубежных авторов, проводилась адаптация с учетом возр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астных особенностей детей и систематизация подобранных упражнений по принципу от простого к сложному. Предполагаемые задания направлены на создание положительной мотивации, на формирование познавательного интереса к математике как предмету и к знаниям вооб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ще. Эта задача достигается с помощью специально построенной системы заданий, которые помогают преодолеть неустойчивость внимания младшего школьника, непроизвольность процесса зрительного и слухового запоминания и ведут к развитию мыслительной деятельности.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силу возрастных особенностей первоклассников я предла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гаю задания, выполнение которых предлагает использование практических действий с предметами и предметными картинками. На первых порах работы с нестандартными задачами моно допускать и угадывание ответа, решения, но тут же постараться подвести учеников к об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основанию своего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обосновании выбранного решения. Как правило, это делает учитель, опираясь на ответы детей и давая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точен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последующих этапах предусматривает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ся полный переход на самостоятельное выполнение учащимися заданий, предполагающее, безусловно, возможность советоваться с учителем, соседом по парте, поиск совместного решения парами или группами. Ведущая задача учителя – поощрять и поддерживать самостояте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льность детей в поиске решения. В то же время не следует предъявлять жестких требований к тому, чтобы задача была обязательно решена учеником. Важно следить, чтобы по мере продвижения к этой деятельности все большее число учащихся класса вовлекалось в нее.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Проверка самостоятельной деятельности учащихся – одно из основных требований методики обучения. Она предусматривает обязательное обсуждение всех предполагаемых учащимися способов решения, уточнение способов решений и рассуждений, показ ошибок в рассужд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ениях, акцентирование внимания на наиболее рациональные, оригинальные и красивые способы решения. Проверка особенно важна для детей с низким уровнем развития, которые усваивают все новое с большим трудом и длительное время выполняют задания самостоятельно.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 привожу образцы заданий и методические комментарии к работе с ними развивающего характера.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ЗАДАНИЯ НА РАЗВИТИЕ ВНИМАНИЯ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 этим заданиям относятся различные виды лабиринтов: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Обычные, степень трудности продвижения по которым определяется длиной пути, количеством встречающихся тупиков, входов и выходов.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Например, помоги зайчику добраться до морковки (см. приложение)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Это задание дети могут выполнять самостоятельно, прочерчивая искомый путь простым карандашом, перебирая один за другим возможные выходы, исключая приводящие в тупик.</w:t>
      </w:r>
      <w:r/>
    </w:p>
    <w:p>
      <w:pPr>
        <w:numPr>
          <w:ilvl w:val="0"/>
          <w:numId w:val="2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Построенные по принципу «дерево решений», в которых нужно пройти по всем моточкам с те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м, чтобы в конце выполнить задание в соответствие с о знаками, встреченными на пути продвижения. Параллельно с обучением правильность или ошибочность выполнения задания дает учителю информацию о сформированности у детей умения выполнять задания по образцу.</w:t>
      </w:r>
      <w:r/>
    </w:p>
    <w:p>
      <w:pPr>
        <w:numPr>
          <w:ilvl w:val="0"/>
          <w:numId w:val="2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указанием направления движения в виде «письма», которое может быть: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А)графическим;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Б) предметным;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В) представлять собой последовательность ответов на примеры, которые надо выбирать и решать по мере приближения к искомой цели( см приложение)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Выполнение этих и аналогичных им упражнений способствует формированию важных умений: целенаправленно сосредотачиваться, вести поиск нужного пути с постоянным контролем, находить самый короткий путь.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Заключите5льный этап работы с такими лабиринтами- задания творческого характера: ученикам самим нужно составить «письмо» к лабиринту.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ЗАДАНИЯ НА РАЗВИТИЕ ПАМЯТИ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Эти задания целесообразно проводить во время устного счета.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Математические слова.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Учитель называет несколько слов: треугольник, отнять, восемь, столько же , пример, математика, четыре, получится, к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руг, меньше и просит учеников их запомнить из них как можно больше. При проверке один ученик называет слова, другие добавляют. Анализируя количество названных слов, причины запоминания одних и незапоминания других ( еще не изучали, не поняли смысл и т.д.).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Круг слов , их количество постепенно следует расширять. Залог успеха - регулярная фиксация удач учащихся в запоминании.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Цепочка слов.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Учитель называет по три слова, связанных по смыслу: круг, треугольник, квадрат; плюс, ми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нус, равняется; шесть, четыре, два; больше, меньше, столько же; справа, слева, между; четное, нечетное, число; первый, второй , пятый. Затем учитель снова читает каждое первое слово, а второе и третье слова вспоминают и произносят дети по одному или хором.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 анализе подчеркивается, чтоб слова, связанные по смыслу, запоминаются легче.</w:t>
      </w:r>
      <w:r/>
    </w:p>
    <w:p>
      <w:pPr>
        <w:numPr>
          <w:ilvl w:val="0"/>
          <w:numId w:val="5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Повтори-ка!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Учитель называет одно из слов, допустим «пять». Следующий ученик повторяет это слово и добавляет еще одно: пять, меньше. Третий говорит: пять, меньше – и добавляет еще одно: плюс. Так каждый следующий ученик, перечислив названные слова, добавляет свое сл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ово. Тот, кто не сумеет повторить всех слов или перепутает их порядок (за этим следит выбранный судья) выбывает из игры. Список слов растет, запомнить его все труднее и труднее. Один за другим выбывают ученики из игры. Побеждает тот, у кого развита память.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Принимая участие в игра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х, дети не только осмысливают и прочно сохраняют в памяти математические названия, термины, но у них постепенно увеличивается объем слухового запоминания, развивается слуховая память, закладываются предпосылки для рационального использования сил и времени.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Для развития внимания, зрительной и слуховой памяти широко используются зрительные и слуховые диктанты, которые рекомендованы современной программой по математике.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ЗАДАНИЯ НА РАЗВИТИЕ ЛОГИЧЕСКОГО МЫШЛЕНИЯ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Сюда я отношу такие логические упражнения, которые позволяют на доступном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детям материале и на их жизненном опыте строить правильные суждения и проводить несложные доказательства без предварительного теоретического освоения самих законов логики. В процессе выполнения логических упражнений детям практически учатся сравнивать разн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ые объекты, в том числе и математические, выполнять простейшие виды анализа и синтеза, устанавливать связи между рядовыми и видовыми понятиями. Сначала вводятся доступные детям логические упражнения, направленные на совершенствование мыслительных операций:</w:t>
      </w:r>
      <w:r/>
    </w:p>
    <w:p>
      <w:pPr>
        <w:numPr>
          <w:ilvl w:val="0"/>
          <w:numId w:val="6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Анализ с мысленным расчленением объекта на составные части ( нарисуй такую же лесенку справа, как и слева)</w:t>
      </w:r>
      <w:r/>
    </w:p>
    <w:p>
      <w:pPr>
        <w:numPr>
          <w:ilvl w:val="0"/>
          <w:numId w:val="6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Сравнение предметов с указанием сходства и различия, добавление недостающих элементов (рассмотри пары предметов, дорисуй то, что забыл нарисовать художник)</w:t>
      </w:r>
      <w:r/>
    </w:p>
    <w:p>
      <w:pPr>
        <w:numPr>
          <w:ilvl w:val="0"/>
          <w:numId w:val="6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Обобщение, где требуется или продолжить приведенный ряд предметов или найти и дорисовать недостающий предмет (нарисуй третью ёлочку, сравнив первую и вторую)</w:t>
      </w:r>
      <w:r/>
    </w:p>
    <w:p>
      <w:pPr>
        <w:numPr>
          <w:ilvl w:val="0"/>
          <w:numId w:val="6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Проведение классификации предметов, геометрических фигур и т. Д. с выделением разных признаков предметов (найти на рисунке предметы треугольной формы и раскрась их красным цветом)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Логические упражнения, связанные с простейшими умозаключениями из суждений, позволяют детям глубже освоить сами математические и их свойств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а. Чаще всего подобранные логические упражнения не связаны с вычислениями, а лишь требуют умения выполнять несложные доказательства, проводить рассуждения ( раскрась воздушные шары так, чтобы большой шар был между синим и жёлтым, а желтый рядом с красным).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Логические упражнения постепенно усложняются. Покажу это на примере хорошо известных упражнений на поиск недостающей фигуры. Как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равило, они наглядно представлены тремя горизонтальными и вертикальными рядами, этоо могут быть изображения предметов, сюжетные картинки, геометрические фигуры, числа. Сначала выполняются упражнения, когда заданные фигуры в каждом ряду отличаются одна от 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ругой одним признаком, потом двумя и т.д. Детям предлагается нарисовать нужную фигуру в пустой клеточке. Путем зрительного и мыслительного анализа рядов фигур по горизонтали и по вертикали или на основе подсчета количества фигур ученик рисует недостающую.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Обучение детей решению таких задач направлено на формирова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ние умений осуществлять последовательные мыслительные операции: анализ и сравнение двух групп фигур, выделение и обобщение признаков, свойственных каждой группе, их сопоставление, установление на этой основе отличия фигур, составляющих сравниваемые группы.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отдельную группу следует выделить элементарные комбинаторные задачи. Их особенность заключается в 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ом, что они имеют не одно, а несколько решений и при их решении учащимся необходимо совершать перебор решений в рациональной последовательности с тем, что бы быть уверенным, что рассмотрены все возможные варианты и не пропущен ни один из них. При решении 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аких задач в 1 классе важна сама операция, сам процесс практического составления комбинаторных соединений, а не подсчет их числа. Важно чтобы учащиеся увидели и осознали возможность составления нескольких комбинаций и нашли рациональный способ их перебора.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Задания на отработку знаний, умений и навыков, предусмотренных программой, могут быть поданы в несколько иных по сравнению с учебником формах. Приведу примеры таких заданий:</w:t>
      </w:r>
      <w:r/>
    </w:p>
    <w:p>
      <w:pPr>
        <w:numPr>
          <w:ilvl w:val="0"/>
          <w:numId w:val="7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первом столбике справа нарисуй флажков больше, чем их нарисовано слева или указано цифрой. Во втором столбике справа нарисуй четырехугольников меньше, чем их нарисовано слева или указано цифрой ( см. приложение) </w:t>
      </w:r>
      <w:r/>
    </w:p>
    <w:p>
      <w:pPr>
        <w:numPr>
          <w:ilvl w:val="0"/>
          <w:numId w:val="7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вагончике и внизу по строчкам вставь нужные числа так, чтобы были видны разные случаи состава числа 6 (см. приложение)</w:t>
      </w:r>
      <w:r/>
    </w:p>
    <w:p>
      <w:pPr>
        <w:numPr>
          <w:ilvl w:val="0"/>
          <w:numId w:val="7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Найди сумму чисел, заключенных в рамке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Обведи рамкой другие пары чисел, сумма которых равна найденному числу, и запиши их в столбике справа.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Систематическое выполнение целенаправленно подобранных нестанд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артных заданий, задач и упражнений будет оказывать положительное влияние не только на качество знаний учащихся по программному материалу, но и на развитие их познавательных процессов: значительно расширяется объем и концентрация внимания, учащиеся овладева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ют простыми, но необходимыми для них приемами зрительного запоминания и сохранения увиденного в памяти. Значительно обогащается словарный запас и умение оформлять в словесной форме свои рассуждения, объяснения, небольшие доказательства(обоснования ответа).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Продумывая содержание урока, учитель ориентируется на те знания, которые предлагает учебник математики, однако при этом не всегда реализует все обучающие и развивающие их возможности. При подготовке к уроку важно установить, какой характер мы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слительной деятельности определен тем или иным учебным заданием. Если уровень мыслительной деятельности при выполнении данного задания не достаточно высок, то учитывая познавательные возможности класса, учитель может внести изменения в содержание задания 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 в методику его выполнения, чтобы сделать его не только средством усвоения знаний, формирования умений и навыков, но и средством развития учащихся. Ведь учебник не может учитывать возможности каждого класса. Важно творческое отношение учителя к учебнику.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связи с этим рассмотрим возможный подход к работе над следующим заданием.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Задание записано на доске: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30-9 83-60 56-3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20-7 54-20 87-5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40-6 48-30 100-7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50-4 23-10 30-4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Это тренировочное учебное задание, предполагающее закрепление изученных вычислительных приёмов. Учащиеся уже несколько уро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ков работали над вычислительными приёмами данных видов. Чем же это задание отличается от других, предлагаемых в учебнике для предшествующих уроков с теми же дидактическими целями? Практически ничем. Выполнение этого задания ни на шаг не продвинет учащихся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развитии, так как здесь активная умственная деятельность подменяется натаскиванием их.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Можно ли поднять мыслительную деятельность учеников на более высокий уровень?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Думаю, что можно.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Возможные варианты решения поставленной задачи.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Предлагается сравн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ить примеры первого затем второго столбиков и установить основания для их классификации. Затем рассмотреть примеры третьего столбика и выделить примеры, которые могли быть отнесены либо к первому, либо ко второму столбикам. Учащиеся легко выделяют примеры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100-7 и 30 – 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относят их к первому столбику, обосновывая свои действия. Выясняется, что примеры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56-3 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87 -5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не могут быть от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несены ни к первому ни ко второму столбикам. Учитель предлагает ученикам самим составить несколько примеров, которые можно отнести к третьему столбику. Каждый ответ требует обоснования. Два таких примера учитель записывает на доске. Запись имеет такой вид: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30 -9 83 – 60 56 – 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20 – 7 54 – 20 87 – 5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40 – 6 48 – 30 75 – 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50 – 4 23 – 10 87 – 6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100 – 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– 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Примеры второго и третьего столбиков решаются устно, т.к. вычислительные приемы учащиеся знают. Можно поставить цель – формирование беглого вычисления.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Примеры первого столбика можно предложить решать письменно с предварительной прикидкой результатов.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Задания:</w:t>
      </w:r>
      <w:r/>
    </w:p>
    <w:p>
      <w:pPr>
        <w:numPr>
          <w:ilvl w:val="0"/>
          <w:numId w:val="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Не решая, назовите пример, в котором будет наибольшая ( наименьшая) разность. Почему вы так решили?</w:t>
      </w:r>
      <w:r/>
    </w:p>
    <w:p>
      <w:pPr>
        <w:numPr>
          <w:ilvl w:val="0"/>
          <w:numId w:val="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Найдите примеры с одинаковым уменьшаемым. В каком из них будет большая разность? Почему?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После решения примеров учитель старается проверить, правильно ли рассуждали ученики.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Затем учащихся можно попросить составить примеры на вычитание однозначных чисел с уменьшаемым 30, а разностью больше 26 для второго варианта, и разностью меньше 26 для первого варианта. Слабым учащимся можно предложить методическую помощь – карточку вида: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6" descr="https://fsd.multiurok.ru/html/2019/05/26/s_5ceadab00926b/1163952_1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51659264;o:allowoverlap:true;o:allowincell:true;mso-position-horizontal-relative:text;mso-position-horizontal:left;mso-position-vertical-relative:line;margin-top:0.0pt;mso-position-vertical:absolute;width:24.0pt;height:24.0pt;" coordsize="100000,100000" path="" filled="f" stroked="f">
                <v:path textboxrect="0,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 = 25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7" descr="https://fsd.multiurok.ru/html/2019/05/26/s_5ceadab00926b/1163952_2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251660288;o:allowoverlap:true;o:allowincell:true;mso-position-horizontal-relative:text;mso-position-horizontal:left;mso-position-vertical-relative:line;margin-top:0.0pt;mso-position-vertical:absolute;width:24.0pt;height:24.0pt;" coordsize="100000,100000" path="" filled="f" stroked="f">
                <v:path textboxrect="0,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 = 24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8" descr="https://fsd.multiurok.ru/html/2019/05/26/s_5ceadab00926b/1163952_3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251661312;o:allowoverlap:true;o:allowincell:true;mso-position-horizontal-relative:text;mso-position-horizontal:left;mso-position-vertical-relative:line;margin-top:0.0pt;mso-position-vertical:absolute;width:24.0pt;height:24.0pt;" coordsize="100000,100000" path="" filled="f" stroked="f">
                <v:path textboxrect="0,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 = 23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9" descr="https://fsd.multiurok.ru/html/2019/05/26/s_5ceadab00926b/1163952_3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251662336;o:allowoverlap:true;o:allowincell:true;mso-position-horizontal-relative:text;mso-position-horizontal:left;mso-position-vertical-relative:line;margin-top:0.0pt;mso-position-vertical:absolute;width:24.0pt;height:24.0pt;" coordsize="100000,100000" path="" filled="f" stroked="f">
                <v:path textboxrect="0,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 = 22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Проверку задания лучше выполнить на доске, располагая примеры в порядке возрастания ( убывания) разности. Это даст возможность установить зависимость разности от вычитаемого при постоянном уменьшаемом.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Позже, когда учащиеся научатся сравнивать числовые выражения, можно предложить задания на конструирование равенств и неравенств и их преобразования.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Так, выражение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30 -9 и 30 – 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можно было бы предложить соединить знаком сравнения, затем полученное неравенство преобразовать в равенство, либо в неравенство со знаком , рассматривая самые разнообразные варианты, например 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30 -9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Проводится беседа: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Изменим знак сравнения. Вместо знака 30 -9 = 30 – 4. Почему оно неверное?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Изменим левое выражение так, чтобы равенство было верным. Его следует увеличить или уменьшить ? На сколько единиц надо увеличить левое выражение? Как следует изменить уменьшаемое, чтобы равенство было верным?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 сколько единиц его надо увеличить? Почему?</w: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Запишем полученное равенство : 35- 9 = 30-4 </w: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Проверим вычислением, действительно ли получилось верное равенство.</w: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Вернемся к неверному равенству : 30 – 9 = 30 – 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Изменим правое выражение так, чтобы равенство было верным. Его следует увеличить или уменьшить? На сколько единиц его следует уменьшить? Почему?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Будем уменьшать уменьшаемое. Как следует изменить уменьшаемое, чтобы равенство было верным? Почему? На сколько единиц? Запишем полученное равенство : 30 - 9 = 25 – 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Проверим вычислением, действительно ли получилось верное равенство.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Выполняемое таким образом задание по прежнему реализует свои учебные цели, но вместе с тем учащиеся производят такие мыслительные операции, как анализ,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синтез, сравнение классификация , обобщение, установление причинно- следственных связей, выполнение доказательности суждений.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Конечно, на выполнение учебного задания таким образом потребуется немало времени на уроке. Однако в плане развития учащихся важно реализовать все обучающие и развивающие возможности одного задания.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Творческое отношение учителя к заданиям учебника математики позволяет наиболее эффективно соединить обучение учащихся с их развитием.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Хочу привести еще несколько примеров упражнений, которые направлены на развитие наблюдательности. Упражнения лучше начинать с 1 класса, постепенно усложняя их в последующих классах.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1.Чем отличаются и чем похожи данные выражения?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3+5 4+2 7-2 8-3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3+6 5+2 8-2 8-4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2.Найдите результат, пользуясь решенным примером: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u w:val="single"/>
          <w:lang w:eastAsia="ru-RU"/>
        </w:rPr>
        <w:t xml:space="preserve">3+5=8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3+6=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3+7=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3+8=</w:t>
      </w:r>
      <w:r/>
    </w:p>
    <w:p>
      <w:pPr>
        <w:numPr>
          <w:ilvl w:val="0"/>
          <w:numId w:val="9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Продолжите данный ряд чисел: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3,5,7,9,11,…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1,4,7,10,…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4.В чем сходство и различие задач: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В одной коробке 6 карандашей , а в другой на 2 карандаша меньше. Сколько карандашей в другой коробке?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В одной коробке 6 карандашей, а в другой на 2 карандаша меньше. Сколько карандашей в двух коробках?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Во 2 и з классах я использую задания развивающего характера с целью сформулировать новое правило.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1. 0+1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2+3 Вывод: Сумма двух последовательных чисел есть число нечетное.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4+5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5+6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6+7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7+8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8+9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2. 1-0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2-1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3-2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4-3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5-4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Вывод: Если из последующего числа вычесть предыдущее, то получится 1.</w:t>
      </w:r>
      <w:r/>
    </w:p>
    <w:p>
      <w:pPr>
        <w:numPr>
          <w:ilvl w:val="0"/>
          <w:numId w:val="1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(1*2):2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(2*3):2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(4*5):2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(5*6):2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(6*7):2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Вывод: Произведение двух последовательных чисел делится на 2, если в произведении есть четное число.</w:t>
      </w:r>
      <w:r/>
    </w:p>
    <w:p>
      <w:pPr>
        <w:numPr>
          <w:ilvl w:val="0"/>
          <w:numId w:val="11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9+4-4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15+7-7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27+5-5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42+12-12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58+24-24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Вывод: Если к любому числу прибавит и затем вычесть одно и то же число, то получится первоначальное число.</w:t>
      </w:r>
      <w:r/>
    </w:p>
    <w:p>
      <w:pPr>
        <w:numPr>
          <w:ilvl w:val="0"/>
          <w:numId w:val="12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18:2*2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14:7*7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15:3*3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27:9*9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49:7*7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54:6*6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Вывод: Если любое число разделить и умножить на одно и то же число, то получится первоначальное число.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Большую роль в развитии мышления детей играют задания сказочного характера с помощью символов и знаков.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-Представьте, ребята, что вы в сказочной стране. Сможете вы решить такие выражения?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$:1 @+0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#:# #- 0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% *0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Введение условных значков оказало влияние на рассуждения учащихся. Решив первый пример $:1=$ они проверили объяснение таким образом: при делении числа на 1 мы получаем это же число, поэтому в ответе получили $.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 делении числа на само себя получаем 1, поэтому #:#=1.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 умножении числа на ноль получаем ноль, поэтому %*0=0.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 сложении числа с числом 0 получаем это же число, поэтому # + 0 = #.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 вычитании из числа 0 получаем это же число, поэтому # - 0 = #.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Такая работа, проводимая в начальной школе, помогает детям овладевать знаниями, формировать и развивать соответствующие навыки и умения, пробуждать интерес к учению.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Приведу примеры нескольких задач в занимательной стихотворной форме.</w:t>
      </w:r>
      <w:r/>
    </w:p>
    <w:p>
      <w:pPr>
        <w:numPr>
          <w:ilvl w:val="0"/>
          <w:numId w:val="13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У куклы пять нарядных платьев.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Какое нынче надевать?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Есть у меня для куклы шерсть,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Свяжу , и платьев будет…(шесть).</w:t>
      </w:r>
      <w:r/>
    </w:p>
    <w:p>
      <w:pPr>
        <w:numPr>
          <w:ilvl w:val="0"/>
          <w:numId w:val="14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Известно, что сапожек не носит кошка,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Но мама купила кошке сапожки.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Сколько сапожек мама купила,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Чтоб кошка ножки не замочила?</w:t>
      </w:r>
      <w:r/>
    </w:p>
    <w:p>
      <w:pPr>
        <w:numPr>
          <w:ilvl w:val="0"/>
          <w:numId w:val="15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Яблоки в саду поспели,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Мы отведать их успели.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Пять румяных, налитых,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Три с кислинкой. Сколько их?</w:t>
      </w:r>
      <w:r/>
    </w:p>
    <w:p>
      <w:pPr>
        <w:numPr>
          <w:ilvl w:val="0"/>
          <w:numId w:val="16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 серой цапле на урок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Прилетело семь сорок,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А из них лишь три сороке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Приготовили уроки.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Сколько лодырей – сорок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Прилетело на урок?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Все приведенные выше задания развивающего характера и другие упражнения используются на уроках матема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тики ежедневно, что позволяет учить детей наблюдать, сравнивать, делать выводы, ведет к выработке устойчивого внимания, что , естественно, не может положительно не сказаться на организации самого урока, на усвоении знаний, на формировании умений и навыков.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Принимая детей в 1 класс, я провела тестирование с помощью упражн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ений и заданий на развитие памяти, логического мышления, внимания. Подведя итоги, я получила следующие результаты: с заданиями на развитие памяти справились 25% учащихся, на развитие логического мышления – 18% учащихся, на развитие внимания – 20% учащихся.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 конце третьей четверти, проведя аналогичные задания, я получила следующие результаты: с заданиями справились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памяти - 50 % учащихся;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мышления – 65% учащихся;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внимания – 62% учащихся.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 конце четвертой четверти обучение во 2 классе были получены следующие результаты: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 заданиями справились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памяти – 60% учащихся;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мышления – 70% учащихся;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на развитие внимания – 68% учащихся.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Предлагаю график, на котором наглядно можно увидеть рост в развитии обучения учащихся младшего школьного возраста.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5" name="AutoShape 5" descr="https://multiurok.ru/files/razvivaiushchee-obuchenie-v-nachalnoi-shkole.html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24.0pt;height:24.0pt;" coordsize="100000,100000" path="" filled="f" stroked="f">
                <v:path textboxrect="0,0,0,0"/>
              </v:shape>
            </w:pict>
          </mc:Fallback>
        </mc:AlternateConten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 конце первого класса детям были предложены вопросы:</w:t>
      </w:r>
      <w:r/>
    </w:p>
    <w:p>
      <w:pPr>
        <w:numPr>
          <w:ilvl w:val="0"/>
          <w:numId w:val="17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Какой предмет в школе мне больше нравится?</w:t>
      </w:r>
      <w:r/>
    </w:p>
    <w:p>
      <w:pPr>
        <w:numPr>
          <w:ilvl w:val="0"/>
          <w:numId w:val="17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Что интереснее проходит на уроке математики: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решение задач;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решение примеров;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задания развивающего характера;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работа по учебнику;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 работа в тетради и другие.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Посмотрев на графики, можно увидеть, какими были ответы детей.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6" name="AutoShape 6" descr="https://multiurok.ru/files/razvivaiushchee-obuchenie-v-nachalnoi-shkole.html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24.0pt;height:24.0pt;" coordsize="100000,100000" path="" filled="f" stroked="f">
                <v:path textboxrect="0,0,0,0"/>
              </v:shape>
            </w:pict>
          </mc:Fallback>
        </mc:AlternateConten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7" name="AutoShape 7" descr="https://multiurok.ru/files/razvivaiushchee-obuchenie-v-nachalnoi-shkole.html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6" o:spid="_x0000_s6" o:spt="1" style="mso-wrap-distance-left:0.0pt;mso-wrap-distance-top:0.0pt;mso-wrap-distance-right:0.0pt;mso-wrap-distance-bottom:0.0pt;width:24.0pt;height:24.0pt;" coordsize="100000,100000" path="" filled="f" stroked="f">
                <v:path textboxrect="0,0,0,0"/>
              </v:shape>
            </w:pict>
          </mc:Fallback>
        </mc:AlternateConten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Заключение.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Описанная мною работа ни в коем случае не превышает требование программы по математике в начальных классах, т.к. уделяя значительное внимание формированию у учащихся осознанных и прочных, доведенных до автоматизма навыков выч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ислений, программа предполагает вместе с тем и доступные детям обобщения учебного материала, понимание общих принципов и законов, лежащих в основе изучаемых математических фактов, и осознание тех связей, которые существуют между рассматриваемыми явлениями.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Данн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ую работу проводить нельзя, не разрывая мышление, память, внимание, что формирует у детей умение рассуждать, способствует развитию интереса к математике, усугублению и рассмотрению математических знаний, осознанию силы и практической значимости математики.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 процессе обучения мат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ематике задача учителя состоит только в том, чтобы обеспечивать прочные знания, предусмотренные программой, но и в том, чтобы развивать самостоятельность и активность мышления. Дело это не простое и начинать его надо с первых дней обучения ребенка в школе.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Математика, в отличии от других предметов, имеет отвлеченный, абстрактный характер. Приходится оперировать такими понятиями, как число, мера,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пространственные формы, и учащимися они воспринимаются как формальные, оторванные от жизни. Поэтому пер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ед учителем начальных классов стоит задача преодолеть эту тенденцию, связать обучение с жизнью, показать, что возникновение математических понятий связано с практической деятельностью человека и является результатом обобщения или явлений действительности.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Без заданий и упражнений развивающего характера учителю трудно выполнить свою задачу перед детьми.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Суммируя все сказанное, можно отметить, что обогащая программный материал по математике заданиями развивающего характера , позволяет учителю более активно формировать математическое мышление учащихся,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поднимая его на качественно новый уровень; создавать серьезные предпосылки для усвоения учащимися более сложных математических понятий в дальнейшем общении; способствовать формированию творческого и самостоятельного подхода к познанию и изучению предмета.</w: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Список литературы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Программа начальная школа 2015г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Истомина Н.Б. Методика обучения математике в начальной школе. Москва. Академия.1998.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Захарова Е.А. Развивающее обучение математике в начальной школе. Москва. Просвещение 2015 г.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Моро М.М. и др. Математика. 1 класс. Москва. Просвещение. 2017 г. 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Моро М.И. и др. Математика. 2 класс. Москва. Просвещение. 2017 г.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Начальная школа. № 7.1998г. Волкова С.М. Столярова Н.Н. Развитие шестилетних детей на уроках математики.</w:t>
      </w:r>
      <w:r/>
    </w:p>
    <w:p>
      <w:pPr>
        <w:numPr>
          <w:ilvl w:val="0"/>
          <w:numId w:val="18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Начальная школа. №5 1988 г. Лехова В.П.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Дедуктивные рассуждения в курсе математики начальных классов.</w:t>
      </w:r>
      <w:r/>
    </w:p>
    <w:p>
      <w:pPr>
        <w:numPr>
          <w:ilvl w:val="0"/>
          <w:numId w:val="19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Начальная школа. № 5. 1994 г. Коннова В.А.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Задания развивающего характера к уроку математики.</w:t>
      </w:r>
      <w:r/>
    </w:p>
    <w:p>
      <w:pPr>
        <w:numPr>
          <w:ilvl w:val="0"/>
          <w:numId w:val="2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Начальная школа №5 1994 г. Волкова С.И. Математика в стихах.</w:t>
      </w:r>
      <w:r/>
    </w:p>
    <w:p>
      <w:pPr>
        <w:numPr>
          <w:ilvl w:val="0"/>
          <w:numId w:val="2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Михеева Ю.В. Проектирование урока с позиции формирования универсальных учебных действий. Статья. Учительская газета.2012 г.</w:t>
      </w:r>
      <w:r/>
    </w:p>
    <w:p>
      <w:pPr>
        <w:numPr>
          <w:ilvl w:val="0"/>
          <w:numId w:val="2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Лавриненко Т.А. Задания развивающего характера по математике.- Саратов. Лицей.2011 г.</w:t>
      </w:r>
      <w:r/>
    </w:p>
    <w:p>
      <w:pPr>
        <w:numPr>
          <w:ilvl w:val="0"/>
          <w:numId w:val="2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Савенков А.И. Содержание и организация исследовательского обучения школьников. – М.: «Сентябрь», 2003 г.- №4.</w:t>
      </w:r>
      <w:r/>
    </w:p>
    <w:p>
      <w:pPr>
        <w:numPr>
          <w:ilvl w:val="0"/>
          <w:numId w:val="20"/>
        </w:num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Зайцев В.В. Математика для младших школьников. Етодическое пособие для учителей и родителей. Владос. 2011 г.</w:t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/>
      <w:bookmarkStart w:id="0" w:name="_GoBack"/>
      <w:r/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240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br/>
      </w:r>
      <w:r/>
    </w:p>
    <w:p>
      <w:pPr>
        <w:jc w:val="right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17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instrText xml:space="preserve"> HYPERLINK "https://videouroki.net/course/sovriemiennyie-piedaghoghichieskiie-tiekhnologhii-v-obrazovatiel-nom-protsiessie.html?utm_source=multiurok&amp;utm_medium=banner&amp;utm_campaign=mskachat&amp;utm_content=course&amp;utm_term=10" \t "_blank" </w:instrTex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fldChar w:fldCharType="separate"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8" name="AutoShape 8" descr="https://fsd.videouroki.net/courses/images/201709/081832_59ace22859279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" o:spid="_x0000_s7" o:spt="1" style="mso-wrap-distance-left:0.0pt;mso-wrap-distance-top:0.0pt;mso-wrap-distance-right:0.0pt;mso-wrap-distance-bottom:0.0pt;width:24.0pt;height:24.0pt;" coordsize="100000,100000" path="" filled="f" stroked="f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  <w:u w:val="single"/>
          <w:lang w:eastAsia="ru-RU"/>
        </w:rPr>
        <w:t xml:space="preserve">-70%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  <w:u w:val="single"/>
          <w:lang w:eastAsia="ru-RU"/>
        </w:rPr>
        <w:t xml:space="preserve">Курсы повышения квалификации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fldChar w:fldCharType="end"/>
      </w:r>
      <w:bookmarkEnd w:id="0"/>
      <w:r/>
      <w:r/>
    </w:p>
    <w:p>
      <w:r>
        <w:br w:type="page"/>
      </w:r>
      <w:r/>
    </w:p>
    <w:p>
      <w:r/>
      <w:hyperlink r:id="rId10" w:tooltip="https://znanio.ru" w:history="1">
        <w:r>
          <w:rPr>
            <w:rStyle w:val="855"/>
          </w:rPr>
          <w:t xml:space="preserve">Скачано с www.znanio.ru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10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1"/>
    <w:next w:val="851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basedOn w:val="852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1"/>
    <w:next w:val="851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basedOn w:val="852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1"/>
    <w:next w:val="851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basedOn w:val="852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1"/>
    <w:next w:val="851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basedOn w:val="852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1"/>
    <w:next w:val="851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basedOn w:val="852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1"/>
    <w:next w:val="851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basedOn w:val="852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1"/>
    <w:next w:val="851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52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1"/>
    <w:next w:val="851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52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1"/>
    <w:next w:val="851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52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basedOn w:val="851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basedOn w:val="851"/>
    <w:next w:val="85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basedOn w:val="852"/>
    <w:link w:val="694"/>
    <w:uiPriority w:val="10"/>
    <w:rPr>
      <w:sz w:val="48"/>
      <w:szCs w:val="48"/>
    </w:rPr>
  </w:style>
  <w:style w:type="paragraph" w:styleId="696">
    <w:name w:val="Subtitle"/>
    <w:basedOn w:val="851"/>
    <w:next w:val="851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2"/>
    <w:link w:val="696"/>
    <w:uiPriority w:val="11"/>
    <w:rPr>
      <w:sz w:val="24"/>
      <w:szCs w:val="24"/>
    </w:rPr>
  </w:style>
  <w:style w:type="paragraph" w:styleId="698">
    <w:name w:val="Quote"/>
    <w:basedOn w:val="851"/>
    <w:next w:val="851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1"/>
    <w:next w:val="851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1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2"/>
    <w:link w:val="702"/>
    <w:uiPriority w:val="99"/>
  </w:style>
  <w:style w:type="paragraph" w:styleId="704">
    <w:name w:val="Footer"/>
    <w:basedOn w:val="851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2"/>
    <w:link w:val="704"/>
    <w:uiPriority w:val="99"/>
  </w:style>
  <w:style w:type="paragraph" w:styleId="706">
    <w:name w:val="Caption"/>
    <w:basedOn w:val="851"/>
    <w:next w:val="8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>
    <w:name w:val="Hyperlink"/>
    <w:basedOn w:val="852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znani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Широкова</cp:lastModifiedBy>
  <cp:revision>6</cp:revision>
  <dcterms:created xsi:type="dcterms:W3CDTF">2020-06-19T07:45:00Z</dcterms:created>
  <dcterms:modified xsi:type="dcterms:W3CDTF">2022-02-13T18:04:41Z</dcterms:modified>
</cp:coreProperties>
</file>